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BB" w:rsidRDefault="00AE2B61">
      <w:pPr>
        <w:spacing w:after="240" w:line="280" w:lineRule="auto"/>
        <w:jc w:val="both"/>
      </w:pPr>
      <w:bookmarkStart w:id="0" w:name="_GoBack"/>
      <w:bookmarkEnd w:id="0"/>
      <w:r>
        <w:rPr>
          <w:rFonts w:ascii="Georgia" w:eastAsia="Georgia" w:hAnsi="Georgia" w:cs="Georgia"/>
          <w:sz w:val="20"/>
        </w:rPr>
        <w:t>Page 723</w:t>
      </w:r>
    </w:p>
    <w:p w:rsidR="007B00BB" w:rsidRDefault="00AE2B61">
      <w:pPr>
        <w:spacing w:line="280" w:lineRule="auto"/>
        <w:jc w:val="center"/>
      </w:pPr>
      <w:r>
        <w:rPr>
          <w:rFonts w:ascii="Georgia" w:eastAsia="Georgia" w:hAnsi="Georgia" w:cs="Georgia"/>
          <w:b/>
          <w:bCs/>
          <w:sz w:val="20"/>
        </w:rPr>
        <w:t xml:space="preserve">409 </w:t>
      </w:r>
      <w:proofErr w:type="spellStart"/>
      <w:r>
        <w:rPr>
          <w:rFonts w:ascii="Georgia" w:eastAsia="Georgia" w:hAnsi="Georgia" w:cs="Georgia"/>
          <w:b/>
          <w:bCs/>
          <w:sz w:val="20"/>
        </w:rPr>
        <w:t>S.E.2d</w:t>
      </w:r>
      <w:proofErr w:type="spellEnd"/>
      <w:r>
        <w:rPr>
          <w:rFonts w:ascii="Georgia" w:eastAsia="Georgia" w:hAnsi="Georgia" w:cs="Georgia"/>
          <w:b/>
          <w:bCs/>
          <w:sz w:val="20"/>
        </w:rPr>
        <w:t xml:space="preserve"> 723</w:t>
      </w:r>
    </w:p>
    <w:p w:rsidR="007B00BB" w:rsidRDefault="00AE2B61">
      <w:pPr>
        <w:spacing w:line="280" w:lineRule="auto"/>
        <w:jc w:val="center"/>
      </w:pPr>
      <w:r>
        <w:rPr>
          <w:rFonts w:ascii="Georgia" w:eastAsia="Georgia" w:hAnsi="Georgia" w:cs="Georgia"/>
          <w:b/>
          <w:bCs/>
          <w:sz w:val="20"/>
        </w:rPr>
        <w:t xml:space="preserve">104 </w:t>
      </w:r>
      <w:proofErr w:type="spellStart"/>
      <w:r>
        <w:rPr>
          <w:rFonts w:ascii="Georgia" w:eastAsia="Georgia" w:hAnsi="Georgia" w:cs="Georgia"/>
          <w:b/>
          <w:bCs/>
          <w:sz w:val="20"/>
        </w:rPr>
        <w:t>N.C.App</w:t>
      </w:r>
      <w:proofErr w:type="spellEnd"/>
      <w:r>
        <w:rPr>
          <w:rFonts w:ascii="Georgia" w:eastAsia="Georgia" w:hAnsi="Georgia" w:cs="Georgia"/>
          <w:b/>
          <w:bCs/>
          <w:sz w:val="20"/>
        </w:rPr>
        <w:t>. 490</w:t>
      </w:r>
    </w:p>
    <w:p w:rsidR="007B00BB" w:rsidRDefault="00AE2B61">
      <w:pPr>
        <w:spacing w:line="280" w:lineRule="auto"/>
        <w:jc w:val="center"/>
      </w:pPr>
      <w:r>
        <w:rPr>
          <w:rFonts w:ascii="Georgia" w:eastAsia="Georgia" w:hAnsi="Georgia" w:cs="Georgia"/>
          <w:b/>
          <w:bCs/>
          <w:sz w:val="20"/>
        </w:rPr>
        <w:t xml:space="preserve">Thomas J. </w:t>
      </w:r>
      <w:proofErr w:type="spellStart"/>
      <w:r>
        <w:rPr>
          <w:rFonts w:ascii="Georgia" w:eastAsia="Georgia" w:hAnsi="Georgia" w:cs="Georgia"/>
          <w:b/>
          <w:bCs/>
          <w:sz w:val="20"/>
        </w:rPr>
        <w:t>REHM</w:t>
      </w:r>
      <w:proofErr w:type="spellEnd"/>
      <w:r>
        <w:rPr>
          <w:rFonts w:ascii="Georgia" w:eastAsia="Georgia" w:hAnsi="Georgia" w:cs="Georgia"/>
          <w:b/>
          <w:bCs/>
          <w:sz w:val="20"/>
        </w:rPr>
        <w:t>, Plaintiff,</w:t>
      </w:r>
      <w:r>
        <w:rPr>
          <w:rFonts w:ascii="Georgia" w:eastAsia="Georgia" w:hAnsi="Georgia" w:cs="Georgia"/>
          <w:b/>
          <w:bCs/>
          <w:sz w:val="20"/>
        </w:rPr>
        <w:br/>
        <w:t>v.</w:t>
      </w:r>
      <w:r>
        <w:rPr>
          <w:rFonts w:ascii="Georgia" w:eastAsia="Georgia" w:hAnsi="Georgia" w:cs="Georgia"/>
          <w:b/>
          <w:bCs/>
          <w:sz w:val="20"/>
        </w:rPr>
        <w:br/>
        <w:t xml:space="preserve">Lynne Barrett </w:t>
      </w:r>
      <w:proofErr w:type="spellStart"/>
      <w:r>
        <w:rPr>
          <w:rFonts w:ascii="Georgia" w:eastAsia="Georgia" w:hAnsi="Georgia" w:cs="Georgia"/>
          <w:b/>
          <w:bCs/>
          <w:sz w:val="20"/>
        </w:rPr>
        <w:t>REHM</w:t>
      </w:r>
      <w:proofErr w:type="spellEnd"/>
      <w:r>
        <w:rPr>
          <w:rFonts w:ascii="Georgia" w:eastAsia="Georgia" w:hAnsi="Georgia" w:cs="Georgia"/>
          <w:b/>
          <w:bCs/>
          <w:sz w:val="20"/>
        </w:rPr>
        <w:t>, Defendant.</w:t>
      </w:r>
    </w:p>
    <w:p w:rsidR="007B00BB" w:rsidRDefault="00AE2B61">
      <w:pPr>
        <w:spacing w:line="280" w:lineRule="auto"/>
        <w:jc w:val="center"/>
      </w:pPr>
      <w:r>
        <w:rPr>
          <w:rFonts w:ascii="Georgia" w:eastAsia="Georgia" w:hAnsi="Georgia" w:cs="Georgia"/>
          <w:b/>
          <w:bCs/>
          <w:sz w:val="20"/>
        </w:rPr>
        <w:t xml:space="preserve">No. </w:t>
      </w:r>
      <w:proofErr w:type="spellStart"/>
      <w:r>
        <w:rPr>
          <w:rFonts w:ascii="Georgia" w:eastAsia="Georgia" w:hAnsi="Georgia" w:cs="Georgia"/>
          <w:b/>
          <w:bCs/>
          <w:sz w:val="20"/>
        </w:rPr>
        <w:t>9012DC1297</w:t>
      </w:r>
      <w:proofErr w:type="spellEnd"/>
      <w:r>
        <w:rPr>
          <w:rFonts w:ascii="Georgia" w:eastAsia="Georgia" w:hAnsi="Georgia" w:cs="Georgia"/>
          <w:b/>
          <w:bCs/>
          <w:sz w:val="20"/>
        </w:rPr>
        <w:t>.</w:t>
      </w:r>
    </w:p>
    <w:p w:rsidR="007B00BB" w:rsidRDefault="00AE2B61">
      <w:pPr>
        <w:spacing w:line="280" w:lineRule="auto"/>
        <w:jc w:val="center"/>
      </w:pPr>
      <w:r>
        <w:rPr>
          <w:rFonts w:ascii="Georgia" w:eastAsia="Georgia" w:hAnsi="Georgia" w:cs="Georgia"/>
          <w:b/>
          <w:bCs/>
          <w:sz w:val="20"/>
        </w:rPr>
        <w:t>Court of Appeals of North Carolina.</w:t>
      </w:r>
    </w:p>
    <w:p w:rsidR="007B00BB" w:rsidRDefault="00AE2B61">
      <w:pPr>
        <w:spacing w:line="280" w:lineRule="auto"/>
        <w:jc w:val="center"/>
      </w:pPr>
      <w:r>
        <w:rPr>
          <w:rFonts w:ascii="Georgia" w:eastAsia="Georgia" w:hAnsi="Georgia" w:cs="Georgia"/>
          <w:b/>
          <w:bCs/>
          <w:sz w:val="20"/>
        </w:rPr>
        <w:t>Nov. 5, 1991.</w:t>
      </w:r>
    </w:p>
    <w:p w:rsidR="007B00BB" w:rsidRDefault="00AE2B61">
      <w:pPr>
        <w:spacing w:before="240" w:after="240" w:line="280" w:lineRule="auto"/>
        <w:jc w:val="both"/>
      </w:pPr>
      <w:r>
        <w:rPr>
          <w:rFonts w:ascii="Georgia" w:eastAsia="Georgia" w:hAnsi="Georgia" w:cs="Georgia"/>
          <w:sz w:val="20"/>
        </w:rPr>
        <w:t>Page 724</w:t>
      </w:r>
    </w:p>
    <w:p w:rsidR="007B00BB" w:rsidRDefault="00AE2B61">
      <w:pPr>
        <w:spacing w:before="240" w:after="240" w:line="280" w:lineRule="auto"/>
        <w:jc w:val="both"/>
      </w:pPr>
      <w:r>
        <w:rPr>
          <w:rFonts w:ascii="Georgia" w:eastAsia="Georgia" w:hAnsi="Georgia" w:cs="Georgia"/>
          <w:sz w:val="20"/>
        </w:rPr>
        <w:t xml:space="preserve">Header ends here.        Beaver, Holt, Richardson, </w:t>
      </w:r>
      <w:proofErr w:type="spellStart"/>
      <w:r>
        <w:rPr>
          <w:rFonts w:ascii="Georgia" w:eastAsia="Georgia" w:hAnsi="Georgia" w:cs="Georgia"/>
          <w:sz w:val="20"/>
        </w:rPr>
        <w:t>Sternlicht</w:t>
      </w:r>
      <w:proofErr w:type="spellEnd"/>
      <w:r>
        <w:rPr>
          <w:rFonts w:ascii="Georgia" w:eastAsia="Georgia" w:hAnsi="Georgia" w:cs="Georgia"/>
          <w:sz w:val="20"/>
        </w:rPr>
        <w:t xml:space="preserve">, Burge &amp; </w:t>
      </w:r>
      <w:r>
        <w:rPr>
          <w:rFonts w:ascii="Georgia" w:eastAsia="Georgia" w:hAnsi="Georgia" w:cs="Georgia"/>
          <w:sz w:val="20"/>
        </w:rPr>
        <w:t>Glazier, P.A. by F. Thomas Holt, III, Fayetteville, for plaintiff.</w:t>
      </w:r>
    </w:p>
    <w:p w:rsidR="007B00BB" w:rsidRDefault="00AE2B61">
      <w:pPr>
        <w:spacing w:before="240" w:after="240" w:line="280" w:lineRule="auto"/>
        <w:jc w:val="both"/>
      </w:pPr>
      <w:r>
        <w:rPr>
          <w:rFonts w:ascii="Georgia" w:eastAsia="Georgia" w:hAnsi="Georgia" w:cs="Georgia"/>
          <w:sz w:val="20"/>
        </w:rPr>
        <w:t xml:space="preserve">        Blackwell, Strickland &amp; </w:t>
      </w:r>
      <w:proofErr w:type="spellStart"/>
      <w:r>
        <w:rPr>
          <w:rFonts w:ascii="Georgia" w:eastAsia="Georgia" w:hAnsi="Georgia" w:cs="Georgia"/>
          <w:sz w:val="20"/>
        </w:rPr>
        <w:t>Leudeke</w:t>
      </w:r>
      <w:proofErr w:type="spellEnd"/>
      <w:r>
        <w:rPr>
          <w:rFonts w:ascii="Georgia" w:eastAsia="Georgia" w:hAnsi="Georgia" w:cs="Georgia"/>
          <w:sz w:val="20"/>
        </w:rPr>
        <w:t>, P.A. by John V. Blackwell, Jr., and Kenneth D. Burns, Fayetteville, for defendant.</w:t>
      </w:r>
    </w:p>
    <w:p w:rsidR="007B00BB" w:rsidRDefault="00AE2B61">
      <w:pPr>
        <w:spacing w:before="240" w:after="240" w:line="280" w:lineRule="auto"/>
        <w:jc w:val="both"/>
      </w:pPr>
      <w:r>
        <w:rPr>
          <w:rFonts w:ascii="Georgia" w:eastAsia="Georgia" w:hAnsi="Georgia" w:cs="Georgia"/>
          <w:sz w:val="20"/>
        </w:rPr>
        <w:t>        ORR, Judge.</w:t>
      </w:r>
    </w:p>
    <w:p w:rsidR="007B00BB" w:rsidRDefault="00AE2B61">
      <w:pPr>
        <w:spacing w:before="240" w:after="240" w:line="280" w:lineRule="auto"/>
        <w:jc w:val="both"/>
      </w:pPr>
      <w:r>
        <w:rPr>
          <w:rFonts w:ascii="Georgia" w:eastAsia="Georgia" w:hAnsi="Georgia" w:cs="Georgia"/>
          <w:sz w:val="20"/>
        </w:rPr>
        <w:t>        The basic issue for our determination</w:t>
      </w:r>
      <w:r>
        <w:rPr>
          <w:rFonts w:ascii="Georgia" w:eastAsia="Georgia" w:hAnsi="Georgia" w:cs="Georgia"/>
          <w:sz w:val="20"/>
        </w:rPr>
        <w:t xml:space="preserve"> is whether the trial court erred in determining that defendant cohabited with someone of the opposite sex. For the reasons below, we affirm the order of the trial court.</w:t>
      </w:r>
    </w:p>
    <w:p w:rsidR="007B00BB" w:rsidRDefault="00AE2B61">
      <w:pPr>
        <w:spacing w:before="240" w:after="240" w:line="280" w:lineRule="auto"/>
        <w:jc w:val="both"/>
      </w:pPr>
      <w:r>
        <w:rPr>
          <w:rFonts w:ascii="Georgia" w:eastAsia="Georgia" w:hAnsi="Georgia" w:cs="Georgia"/>
          <w:sz w:val="20"/>
        </w:rPr>
        <w:t>It is well settled that in contempt proceedings the trial court's findings of fact ar</w:t>
      </w:r>
      <w:r>
        <w:rPr>
          <w:rFonts w:ascii="Georgia" w:eastAsia="Georgia" w:hAnsi="Georgia" w:cs="Georgia"/>
          <w:sz w:val="20"/>
        </w:rPr>
        <w:t>e conclusive on appeal when supported by any competent evidence and are reviewable only for the purpose of passing on their sufficiency to warrant the judgment. The trial court is not required to make separate conclusions of law.</w:t>
      </w:r>
    </w:p>
    <w:p w:rsidR="007B00BB" w:rsidRDefault="00AE2B61">
      <w:pPr>
        <w:spacing w:before="240" w:after="240" w:line="280" w:lineRule="auto"/>
        <w:jc w:val="both"/>
      </w:pPr>
      <w:r>
        <w:rPr>
          <w:rFonts w:ascii="Georgia" w:eastAsia="Georgia" w:hAnsi="Georgia" w:cs="Georgia"/>
          <w:sz w:val="20"/>
        </w:rPr>
        <w:t>        </w:t>
      </w:r>
      <w:proofErr w:type="spellStart"/>
      <w:r>
        <w:rPr>
          <w:rFonts w:ascii="Georgia" w:eastAsia="Georgia" w:hAnsi="Georgia" w:cs="Georgia"/>
          <w:sz w:val="20"/>
        </w:rPr>
        <w:t>Glesner</w:t>
      </w:r>
      <w:proofErr w:type="spellEnd"/>
      <w:r>
        <w:rPr>
          <w:rFonts w:ascii="Georgia" w:eastAsia="Georgia" w:hAnsi="Georgia" w:cs="Georgia"/>
          <w:sz w:val="20"/>
        </w:rPr>
        <w:t xml:space="preserve"> v. </w:t>
      </w:r>
      <w:proofErr w:type="spellStart"/>
      <w:r>
        <w:rPr>
          <w:rFonts w:ascii="Georgia" w:eastAsia="Georgia" w:hAnsi="Georgia" w:cs="Georgia"/>
          <w:sz w:val="20"/>
        </w:rPr>
        <w:t>Dembros</w:t>
      </w:r>
      <w:r>
        <w:rPr>
          <w:rFonts w:ascii="Georgia" w:eastAsia="Georgia" w:hAnsi="Georgia" w:cs="Georgia"/>
          <w:sz w:val="20"/>
        </w:rPr>
        <w:t>ky</w:t>
      </w:r>
      <w:proofErr w:type="spellEnd"/>
      <w:r>
        <w:rPr>
          <w:rFonts w:ascii="Georgia" w:eastAsia="Georgia" w:hAnsi="Georgia" w:cs="Georgia"/>
          <w:sz w:val="20"/>
        </w:rPr>
        <w:t xml:space="preserve">, 73 </w:t>
      </w:r>
      <w:proofErr w:type="spellStart"/>
      <w:r>
        <w:rPr>
          <w:rFonts w:ascii="Georgia" w:eastAsia="Georgia" w:hAnsi="Georgia" w:cs="Georgia"/>
          <w:sz w:val="20"/>
        </w:rPr>
        <w:t>N.C.App</w:t>
      </w:r>
      <w:proofErr w:type="spellEnd"/>
      <w:r>
        <w:rPr>
          <w:rFonts w:ascii="Georgia" w:eastAsia="Georgia" w:hAnsi="Georgia" w:cs="Georgia"/>
          <w:sz w:val="20"/>
        </w:rPr>
        <w:t xml:space="preserve">. 594, 597, 327 </w:t>
      </w:r>
      <w:proofErr w:type="spellStart"/>
      <w:r>
        <w:rPr>
          <w:rFonts w:ascii="Georgia" w:eastAsia="Georgia" w:hAnsi="Georgia" w:cs="Georgia"/>
          <w:sz w:val="20"/>
        </w:rPr>
        <w:t>S.E.2d</w:t>
      </w:r>
      <w:proofErr w:type="spellEnd"/>
      <w:r>
        <w:rPr>
          <w:rFonts w:ascii="Georgia" w:eastAsia="Georgia" w:hAnsi="Georgia" w:cs="Georgia"/>
          <w:sz w:val="20"/>
        </w:rPr>
        <w:t xml:space="preserve"> 60, 62 (1985) (citations omitted).</w:t>
      </w:r>
    </w:p>
    <w:p w:rsidR="007B00BB" w:rsidRDefault="00AE2B61">
      <w:pPr>
        <w:spacing w:before="240" w:after="240" w:line="280" w:lineRule="auto"/>
        <w:jc w:val="both"/>
      </w:pPr>
      <w:r>
        <w:rPr>
          <w:rFonts w:ascii="Georgia" w:eastAsia="Georgia" w:hAnsi="Georgia" w:cs="Georgia"/>
          <w:sz w:val="20"/>
        </w:rPr>
        <w:t>        The trial court stated in its findings of fact:</w:t>
      </w:r>
    </w:p>
    <w:p w:rsidR="007B00BB" w:rsidRDefault="00AE2B61">
      <w:pPr>
        <w:spacing w:before="240" w:after="240" w:line="280" w:lineRule="auto"/>
        <w:jc w:val="both"/>
      </w:pPr>
      <w:r>
        <w:rPr>
          <w:rFonts w:ascii="Georgia" w:eastAsia="Georgia" w:hAnsi="Georgia" w:cs="Georgia"/>
          <w:sz w:val="20"/>
        </w:rPr>
        <w:t>6. Beginning in November, 1989, the Defendant herein began having a relationship with a member of the opposite sex namely, Matth</w:t>
      </w:r>
      <w:r>
        <w:rPr>
          <w:rFonts w:ascii="Georgia" w:eastAsia="Georgia" w:hAnsi="Georgia" w:cs="Georgia"/>
          <w:sz w:val="20"/>
        </w:rPr>
        <w:t xml:space="preserve">ew </w:t>
      </w:r>
      <w:proofErr w:type="spellStart"/>
      <w:r>
        <w:rPr>
          <w:rFonts w:ascii="Georgia" w:eastAsia="Georgia" w:hAnsi="Georgia" w:cs="Georgia"/>
          <w:sz w:val="20"/>
        </w:rPr>
        <w:t>Blashfield</w:t>
      </w:r>
      <w:proofErr w:type="spellEnd"/>
      <w:r>
        <w:rPr>
          <w:rFonts w:ascii="Georgia" w:eastAsia="Georgia" w:hAnsi="Georgia" w:cs="Georgia"/>
          <w:sz w:val="20"/>
        </w:rPr>
        <w:t xml:space="preserve">. Thereafter, Defendant </w:t>
      </w:r>
      <w:r>
        <w:rPr>
          <w:rFonts w:ascii="Georgia" w:eastAsia="Georgia" w:hAnsi="Georgia" w:cs="Georgia"/>
          <w:sz w:val="20"/>
        </w:rPr>
        <w:lastRenderedPageBreak/>
        <w:t xml:space="preserve">became intimate with Mr. </w:t>
      </w:r>
      <w:proofErr w:type="spellStart"/>
      <w:r>
        <w:rPr>
          <w:rFonts w:ascii="Georgia" w:eastAsia="Georgia" w:hAnsi="Georgia" w:cs="Georgia"/>
          <w:sz w:val="20"/>
        </w:rPr>
        <w:t>Blashfield</w:t>
      </w:r>
      <w:proofErr w:type="spellEnd"/>
      <w:r>
        <w:rPr>
          <w:rFonts w:ascii="Georgia" w:eastAsia="Georgia" w:hAnsi="Georgia" w:cs="Georgia"/>
          <w:sz w:val="20"/>
        </w:rPr>
        <w:t xml:space="preserve"> and had sexual relations with him. Defendant has had sexual relations with no other person other that Mr. </w:t>
      </w:r>
      <w:proofErr w:type="spellStart"/>
      <w:r>
        <w:rPr>
          <w:rFonts w:ascii="Georgia" w:eastAsia="Georgia" w:hAnsi="Georgia" w:cs="Georgia"/>
          <w:sz w:val="20"/>
        </w:rPr>
        <w:t>Blashfield</w:t>
      </w:r>
      <w:proofErr w:type="spellEnd"/>
      <w:r>
        <w:rPr>
          <w:rFonts w:ascii="Georgia" w:eastAsia="Georgia" w:hAnsi="Georgia" w:cs="Georgia"/>
          <w:sz w:val="20"/>
        </w:rPr>
        <w:t xml:space="preserve"> since they met in November, 1989, and Defendant continues to have </w:t>
      </w:r>
      <w:r>
        <w:rPr>
          <w:rFonts w:ascii="Georgia" w:eastAsia="Georgia" w:hAnsi="Georgia" w:cs="Georgia"/>
          <w:sz w:val="20"/>
        </w:rPr>
        <w:t xml:space="preserve">sexual relations with </w:t>
      </w:r>
      <w:proofErr w:type="spellStart"/>
      <w:r>
        <w:rPr>
          <w:rFonts w:ascii="Georgia" w:eastAsia="Georgia" w:hAnsi="Georgia" w:cs="Georgia"/>
          <w:sz w:val="20"/>
        </w:rPr>
        <w:t>Blashfield</w:t>
      </w:r>
      <w:proofErr w:type="spellEnd"/>
      <w:r>
        <w:rPr>
          <w:rFonts w:ascii="Georgia" w:eastAsia="Georgia" w:hAnsi="Georgia" w:cs="Georgia"/>
          <w:sz w:val="20"/>
        </w:rPr>
        <w:t xml:space="preserve"> and he has been a guest in her home as many as five times per week.</w:t>
      </w:r>
    </w:p>
    <w:p w:rsidR="007B00BB" w:rsidRDefault="00AE2B61">
      <w:pPr>
        <w:spacing w:before="240" w:after="240" w:line="280" w:lineRule="auto"/>
        <w:jc w:val="both"/>
      </w:pPr>
      <w:r>
        <w:rPr>
          <w:rFonts w:ascii="Georgia" w:eastAsia="Georgia" w:hAnsi="Georgia" w:cs="Georgia"/>
          <w:sz w:val="20"/>
        </w:rPr>
        <w:t xml:space="preserve">7. The relationship between Mr. </w:t>
      </w:r>
      <w:proofErr w:type="spellStart"/>
      <w:r>
        <w:rPr>
          <w:rFonts w:ascii="Georgia" w:eastAsia="Georgia" w:hAnsi="Georgia" w:cs="Georgia"/>
          <w:sz w:val="20"/>
        </w:rPr>
        <w:t>Blashfield</w:t>
      </w:r>
      <w:proofErr w:type="spellEnd"/>
      <w:r>
        <w:rPr>
          <w:rFonts w:ascii="Georgia" w:eastAsia="Georgia" w:hAnsi="Georgia" w:cs="Georgia"/>
          <w:sz w:val="20"/>
        </w:rPr>
        <w:t xml:space="preserve"> and Defendant existed to the extent whereby Defendant allowed Mr. </w:t>
      </w:r>
      <w:proofErr w:type="spellStart"/>
      <w:r>
        <w:rPr>
          <w:rFonts w:ascii="Georgia" w:eastAsia="Georgia" w:hAnsi="Georgia" w:cs="Georgia"/>
          <w:sz w:val="20"/>
        </w:rPr>
        <w:t>Blashfield</w:t>
      </w:r>
      <w:proofErr w:type="spellEnd"/>
      <w:r>
        <w:rPr>
          <w:rFonts w:ascii="Georgia" w:eastAsia="Georgia" w:hAnsi="Georgia" w:cs="Georgia"/>
          <w:sz w:val="20"/>
        </w:rPr>
        <w:t xml:space="preserve"> to stay at her house over night as </w:t>
      </w:r>
      <w:r>
        <w:rPr>
          <w:rFonts w:ascii="Georgia" w:eastAsia="Georgia" w:hAnsi="Georgia" w:cs="Georgia"/>
          <w:sz w:val="20"/>
        </w:rPr>
        <w:t xml:space="preserve">many as five times per week; on at least two occasions during the time period beginning January 1 until June of 1990, Mr. </w:t>
      </w:r>
      <w:proofErr w:type="spellStart"/>
      <w:r>
        <w:rPr>
          <w:rFonts w:ascii="Georgia" w:eastAsia="Georgia" w:hAnsi="Georgia" w:cs="Georgia"/>
          <w:sz w:val="20"/>
        </w:rPr>
        <w:t>Blashfield</w:t>
      </w:r>
      <w:proofErr w:type="spellEnd"/>
      <w:r>
        <w:rPr>
          <w:rFonts w:ascii="Georgia" w:eastAsia="Georgia" w:hAnsi="Georgia" w:cs="Georgia"/>
          <w:sz w:val="20"/>
        </w:rPr>
        <w:t xml:space="preserve"> was observed spending the night at the Defendant's home, leaving the Defendant's home dressed in different clothes than he </w:t>
      </w:r>
      <w:r>
        <w:rPr>
          <w:rFonts w:ascii="Georgia" w:eastAsia="Georgia" w:hAnsi="Georgia" w:cs="Georgia"/>
          <w:sz w:val="20"/>
        </w:rPr>
        <w:t xml:space="preserve">was observed[104 </w:t>
      </w:r>
      <w:proofErr w:type="spellStart"/>
      <w:r>
        <w:rPr>
          <w:rFonts w:ascii="Georgia" w:eastAsia="Georgia" w:hAnsi="Georgia" w:cs="Georgia"/>
          <w:sz w:val="20"/>
        </w:rPr>
        <w:t>N.C.App</w:t>
      </w:r>
      <w:proofErr w:type="spellEnd"/>
      <w:r>
        <w:rPr>
          <w:rFonts w:ascii="Georgia" w:eastAsia="Georgia" w:hAnsi="Georgia" w:cs="Georgia"/>
          <w:sz w:val="20"/>
        </w:rPr>
        <w:t xml:space="preserve">. 493] wearing the previous night; kissing the Defendant goodbye at the front porch prior to getting into his own car, and driving away. Defendant and Mr. </w:t>
      </w:r>
      <w:proofErr w:type="spellStart"/>
      <w:r>
        <w:rPr>
          <w:rFonts w:ascii="Georgia" w:eastAsia="Georgia" w:hAnsi="Georgia" w:cs="Georgia"/>
          <w:sz w:val="20"/>
        </w:rPr>
        <w:t>Blashfield</w:t>
      </w:r>
      <w:proofErr w:type="spellEnd"/>
      <w:r>
        <w:rPr>
          <w:rFonts w:ascii="Georgia" w:eastAsia="Georgia" w:hAnsi="Georgia" w:cs="Georgia"/>
          <w:sz w:val="20"/>
        </w:rPr>
        <w:t xml:space="preserve"> have taken trips together lasting for more than one day and have o</w:t>
      </w:r>
      <w:r>
        <w:rPr>
          <w:rFonts w:ascii="Georgia" w:eastAsia="Georgia" w:hAnsi="Georgia" w:cs="Georgia"/>
          <w:sz w:val="20"/>
        </w:rPr>
        <w:t>ften included the minor child.</w:t>
      </w:r>
    </w:p>
    <w:p w:rsidR="007B00BB" w:rsidRDefault="00AE2B61">
      <w:pPr>
        <w:spacing w:before="240" w:after="240" w:line="280" w:lineRule="auto"/>
        <w:jc w:val="both"/>
      </w:pPr>
      <w:r>
        <w:rPr>
          <w:rFonts w:ascii="Georgia" w:eastAsia="Georgia" w:hAnsi="Georgia" w:cs="Georgia"/>
          <w:sz w:val="20"/>
        </w:rPr>
        <w:t xml:space="preserve">8. Defendant and Mr. </w:t>
      </w:r>
      <w:proofErr w:type="spellStart"/>
      <w:r>
        <w:rPr>
          <w:rFonts w:ascii="Georgia" w:eastAsia="Georgia" w:hAnsi="Georgia" w:cs="Georgia"/>
          <w:sz w:val="20"/>
        </w:rPr>
        <w:t>Blashfield</w:t>
      </w:r>
      <w:proofErr w:type="spellEnd"/>
      <w:r>
        <w:rPr>
          <w:rFonts w:ascii="Georgia" w:eastAsia="Georgia" w:hAnsi="Georgia" w:cs="Georgia"/>
          <w:sz w:val="20"/>
        </w:rPr>
        <w:t xml:space="preserve"> have an exclusive, monogamous relationship for both sexual and regular domestic purposes.</w:t>
      </w:r>
    </w:p>
    <w:p w:rsidR="007B00BB" w:rsidRDefault="00AE2B61">
      <w:pPr>
        <w:spacing w:before="240" w:after="240" w:line="280" w:lineRule="auto"/>
        <w:jc w:val="both"/>
      </w:pPr>
      <w:r>
        <w:rPr>
          <w:rFonts w:ascii="Georgia" w:eastAsia="Georgia" w:hAnsi="Georgia" w:cs="Georgia"/>
          <w:sz w:val="20"/>
        </w:rPr>
        <w:t xml:space="preserve">9. Defendant testified Mr. </w:t>
      </w:r>
      <w:proofErr w:type="spellStart"/>
      <w:r>
        <w:rPr>
          <w:rFonts w:ascii="Georgia" w:eastAsia="Georgia" w:hAnsi="Georgia" w:cs="Georgia"/>
          <w:sz w:val="20"/>
        </w:rPr>
        <w:t>Blashfield</w:t>
      </w:r>
      <w:proofErr w:type="spellEnd"/>
      <w:r>
        <w:rPr>
          <w:rFonts w:ascii="Georgia" w:eastAsia="Georgia" w:hAnsi="Georgia" w:cs="Georgia"/>
          <w:sz w:val="20"/>
        </w:rPr>
        <w:t xml:space="preserve"> maintained a separate residence.</w:t>
      </w:r>
    </w:p>
    <w:p w:rsidR="007B00BB" w:rsidRDefault="00AE2B61">
      <w:pPr>
        <w:spacing w:before="240" w:after="240" w:line="280" w:lineRule="auto"/>
        <w:jc w:val="both"/>
      </w:pPr>
      <w:r>
        <w:rPr>
          <w:rFonts w:ascii="Georgia" w:eastAsia="Georgia" w:hAnsi="Georgia" w:cs="Georgia"/>
          <w:sz w:val="20"/>
        </w:rPr>
        <w:t>        Then the trial court con</w:t>
      </w:r>
      <w:r>
        <w:rPr>
          <w:rFonts w:ascii="Georgia" w:eastAsia="Georgia" w:hAnsi="Georgia" w:cs="Georgia"/>
          <w:sz w:val="20"/>
        </w:rPr>
        <w:t>cluded that "the Defendant has cohabited with someone of the opposite sex and therefore Plaintiff's obligation to pay alimony has terminated." The trial court then ordered that plaintiff was not in contempt of the prior orders and that his obligation to pa</w:t>
      </w:r>
      <w:r>
        <w:rPr>
          <w:rFonts w:ascii="Georgia" w:eastAsia="Georgia" w:hAnsi="Georgia" w:cs="Georgia"/>
          <w:sz w:val="20"/>
        </w:rPr>
        <w:t>y alimony was terminated.</w:t>
      </w:r>
    </w:p>
    <w:p w:rsidR="007B00BB" w:rsidRDefault="00AE2B61">
      <w:pPr>
        <w:spacing w:before="240" w:after="240" w:line="280" w:lineRule="auto"/>
        <w:jc w:val="both"/>
      </w:pPr>
      <w:r>
        <w:rPr>
          <w:rFonts w:ascii="Georgia" w:eastAsia="Georgia" w:hAnsi="Georgia" w:cs="Georgia"/>
          <w:sz w:val="20"/>
        </w:rPr>
        <w:t>        Cohabitation is defined as: "To live together as husband and wife. The mutual assumption of those marital rights, duties and obligations which are usually manifested by married people, including but not necessarily depende</w:t>
      </w:r>
      <w:r>
        <w:rPr>
          <w:rFonts w:ascii="Georgia" w:eastAsia="Georgia" w:hAnsi="Georgia" w:cs="Georgia"/>
          <w:sz w:val="20"/>
        </w:rPr>
        <w:t xml:space="preserve">nt on sexual relations." Black's Law Dictionary 236 (5th ed. 1979). In Young v. Young, 225 N.C. 340, 34 </w:t>
      </w:r>
      <w:proofErr w:type="spellStart"/>
      <w:r>
        <w:rPr>
          <w:rFonts w:ascii="Georgia" w:eastAsia="Georgia" w:hAnsi="Georgia" w:cs="Georgia"/>
          <w:sz w:val="20"/>
        </w:rPr>
        <w:t>S.E.2d</w:t>
      </w:r>
      <w:proofErr w:type="spellEnd"/>
      <w:r>
        <w:rPr>
          <w:rFonts w:ascii="Georgia" w:eastAsia="Georgia" w:hAnsi="Georgia" w:cs="Georgia"/>
          <w:sz w:val="20"/>
        </w:rPr>
        <w:t xml:space="preserve"> 154 (1945), </w:t>
      </w:r>
      <w:r>
        <w:rPr>
          <w:rFonts w:ascii="Georgia" w:eastAsia="Georgia" w:hAnsi="Georgia" w:cs="Georgia"/>
          <w:sz w:val="20"/>
        </w:rPr>
        <w:lastRenderedPageBreak/>
        <w:t>where defendant alleged intrinsic fraud in procuring a judgment of divorce on the grounds of false and fraudulent allegations of sepa</w:t>
      </w:r>
      <w:r>
        <w:rPr>
          <w:rFonts w:ascii="Georgia" w:eastAsia="Georgia" w:hAnsi="Georgia" w:cs="Georgia"/>
          <w:sz w:val="20"/>
        </w:rPr>
        <w:t xml:space="preserve">ration by mutual agreement, the Court stated: "Separation means cessation of cohabitation, and cohabitation means living together as man and wife, though not necessarily implying sexual relations." Id. at 344, 34 </w:t>
      </w:r>
      <w:proofErr w:type="spellStart"/>
      <w:r>
        <w:rPr>
          <w:rFonts w:ascii="Georgia" w:eastAsia="Georgia" w:hAnsi="Georgia" w:cs="Georgia"/>
          <w:sz w:val="20"/>
        </w:rPr>
        <w:t>S.E.2d</w:t>
      </w:r>
      <w:proofErr w:type="spellEnd"/>
      <w:r>
        <w:rPr>
          <w:rFonts w:ascii="Georgia" w:eastAsia="Georgia" w:hAnsi="Georgia" w:cs="Georgia"/>
          <w:sz w:val="20"/>
        </w:rPr>
        <w:t xml:space="preserve"> at 157. In Dudley v. Dudley, 225 N.C</w:t>
      </w:r>
      <w:r>
        <w:rPr>
          <w:rFonts w:ascii="Georgia" w:eastAsia="Georgia" w:hAnsi="Georgia" w:cs="Georgia"/>
          <w:sz w:val="20"/>
        </w:rPr>
        <w:t xml:space="preserve">. 83, 33 </w:t>
      </w:r>
      <w:proofErr w:type="spellStart"/>
      <w:r>
        <w:rPr>
          <w:rFonts w:ascii="Georgia" w:eastAsia="Georgia" w:hAnsi="Georgia" w:cs="Georgia"/>
          <w:sz w:val="20"/>
        </w:rPr>
        <w:t>S.E.2d</w:t>
      </w:r>
      <w:proofErr w:type="spellEnd"/>
      <w:r>
        <w:rPr>
          <w:rFonts w:ascii="Georgia" w:eastAsia="Georgia" w:hAnsi="Georgia" w:cs="Georgia"/>
          <w:sz w:val="20"/>
        </w:rPr>
        <w:t xml:space="preserve"> 489 (1945), where the question presented was whether the parties had lived separate and apart for two years, the Court stated:</w:t>
      </w:r>
    </w:p>
    <w:p w:rsidR="007B00BB" w:rsidRDefault="00AE2B61">
      <w:pPr>
        <w:spacing w:before="240" w:after="240" w:line="280" w:lineRule="auto"/>
        <w:jc w:val="both"/>
      </w:pPr>
      <w:r>
        <w:rPr>
          <w:rFonts w:ascii="Georgia" w:eastAsia="Georgia" w:hAnsi="Georgia" w:cs="Georgia"/>
          <w:sz w:val="20"/>
        </w:rPr>
        <w:t>Cohabit, according to Winston's Dictionary, Encyclopedia Edition (1943), means: "To live together as man and wife</w:t>
      </w:r>
      <w:r>
        <w:rPr>
          <w:rFonts w:ascii="Georgia" w:eastAsia="Georgia" w:hAnsi="Georgia" w:cs="Georgia"/>
          <w:sz w:val="20"/>
        </w:rPr>
        <w:t xml:space="preserve">; usually, though not necessarily, implying sexual intercourse." Black's Law Dictionary, Third Edition, defines the meaning of cohabitation, as: "Living together, living together as man and wife; sexual intercourse." Cohabitation includes other </w:t>
      </w:r>
    </w:p>
    <w:p w:rsidR="007B00BB" w:rsidRDefault="00AE2B61">
      <w:pPr>
        <w:spacing w:before="240" w:after="240" w:line="280" w:lineRule="auto"/>
        <w:jc w:val="both"/>
      </w:pPr>
      <w:r>
        <w:rPr>
          <w:rFonts w:ascii="Georgia" w:eastAsia="Georgia" w:hAnsi="Georgia" w:cs="Georgia"/>
          <w:sz w:val="20"/>
        </w:rPr>
        <w:t>Page 725</w:t>
      </w:r>
    </w:p>
    <w:p w:rsidR="007B00BB" w:rsidRDefault="00AE2B61">
      <w:pPr>
        <w:spacing w:line="280" w:lineRule="auto"/>
        <w:jc w:val="both"/>
      </w:pPr>
      <w:r>
        <w:rPr>
          <w:rFonts w:ascii="Georgia" w:eastAsia="Georgia" w:hAnsi="Georgia" w:cs="Georgia"/>
          <w:sz w:val="20"/>
        </w:rPr>
        <w:t>m</w:t>
      </w:r>
      <w:r>
        <w:rPr>
          <w:rFonts w:ascii="Georgia" w:eastAsia="Georgia" w:hAnsi="Georgia" w:cs="Georgia"/>
          <w:sz w:val="20"/>
        </w:rPr>
        <w:t>arital duties besides marital intercourse.</w:t>
      </w:r>
    </w:p>
    <w:p w:rsidR="007B00BB" w:rsidRDefault="00AE2B61">
      <w:pPr>
        <w:spacing w:before="240" w:after="240" w:line="280" w:lineRule="auto"/>
        <w:jc w:val="both"/>
      </w:pPr>
      <w:r>
        <w:rPr>
          <w:rFonts w:ascii="Georgia" w:eastAsia="Georgia" w:hAnsi="Georgia" w:cs="Georgia"/>
          <w:sz w:val="20"/>
        </w:rPr>
        <w:t xml:space="preserve">        Id. at 85-86, 33 </w:t>
      </w:r>
      <w:proofErr w:type="spellStart"/>
      <w:r>
        <w:rPr>
          <w:rFonts w:ascii="Georgia" w:eastAsia="Georgia" w:hAnsi="Georgia" w:cs="Georgia"/>
          <w:sz w:val="20"/>
        </w:rPr>
        <w:t>S.E.2d</w:t>
      </w:r>
      <w:proofErr w:type="spellEnd"/>
      <w:r>
        <w:rPr>
          <w:rFonts w:ascii="Georgia" w:eastAsia="Georgia" w:hAnsi="Georgia" w:cs="Georgia"/>
          <w:sz w:val="20"/>
        </w:rPr>
        <w:t xml:space="preserve"> at 490-91.</w:t>
      </w:r>
    </w:p>
    <w:p w:rsidR="007B00BB" w:rsidRDefault="00AE2B61">
      <w:pPr>
        <w:spacing w:before="240" w:after="240" w:line="280" w:lineRule="auto"/>
        <w:jc w:val="both"/>
      </w:pPr>
      <w:r>
        <w:rPr>
          <w:rFonts w:ascii="Georgia" w:eastAsia="Georgia" w:hAnsi="Georgia" w:cs="Georgia"/>
          <w:sz w:val="20"/>
        </w:rPr>
        <w:t xml:space="preserve">        "The trial court, when sitting as a trier of fact, is empowered to assign weight to the evidence presented at trial as it deems [104 </w:t>
      </w:r>
      <w:proofErr w:type="spellStart"/>
      <w:r>
        <w:rPr>
          <w:rFonts w:ascii="Georgia" w:eastAsia="Georgia" w:hAnsi="Georgia" w:cs="Georgia"/>
          <w:sz w:val="20"/>
        </w:rPr>
        <w:t>N.C.App</w:t>
      </w:r>
      <w:proofErr w:type="spellEnd"/>
      <w:r>
        <w:rPr>
          <w:rFonts w:ascii="Georgia" w:eastAsia="Georgia" w:hAnsi="Georgia" w:cs="Georgia"/>
          <w:sz w:val="20"/>
        </w:rPr>
        <w:t xml:space="preserve">. 494] appropriate." </w:t>
      </w:r>
      <w:proofErr w:type="spellStart"/>
      <w:r>
        <w:rPr>
          <w:rFonts w:ascii="Georgia" w:eastAsia="Georgia" w:hAnsi="Georgia" w:cs="Georgia"/>
          <w:sz w:val="20"/>
        </w:rPr>
        <w:t>G.R</w:t>
      </w:r>
      <w:proofErr w:type="spellEnd"/>
      <w:r>
        <w:rPr>
          <w:rFonts w:ascii="Georgia" w:eastAsia="Georgia" w:hAnsi="Georgia" w:cs="Georgia"/>
          <w:sz w:val="20"/>
        </w:rPr>
        <w:t xml:space="preserve">. Little Agency, Inc. v. Jennings, 88 </w:t>
      </w:r>
      <w:proofErr w:type="spellStart"/>
      <w:r>
        <w:rPr>
          <w:rFonts w:ascii="Georgia" w:eastAsia="Georgia" w:hAnsi="Georgia" w:cs="Georgia"/>
          <w:sz w:val="20"/>
        </w:rPr>
        <w:t>N.C.App</w:t>
      </w:r>
      <w:proofErr w:type="spellEnd"/>
      <w:r>
        <w:rPr>
          <w:rFonts w:ascii="Georgia" w:eastAsia="Georgia" w:hAnsi="Georgia" w:cs="Georgia"/>
          <w:sz w:val="20"/>
        </w:rPr>
        <w:t xml:space="preserve">. 107, 112, 362 </w:t>
      </w:r>
      <w:proofErr w:type="spellStart"/>
      <w:r>
        <w:rPr>
          <w:rFonts w:ascii="Georgia" w:eastAsia="Georgia" w:hAnsi="Georgia" w:cs="Georgia"/>
          <w:sz w:val="20"/>
        </w:rPr>
        <w:t>S.E.2d</w:t>
      </w:r>
      <w:proofErr w:type="spellEnd"/>
      <w:r>
        <w:rPr>
          <w:rFonts w:ascii="Georgia" w:eastAsia="Georgia" w:hAnsi="Georgia" w:cs="Georgia"/>
          <w:sz w:val="20"/>
        </w:rPr>
        <w:t xml:space="preserve"> 807, 811 (1987). Here we conclude that the trial court did not err in determining defendant cohabited with someone of the opposite sex, thereby terminating plaintiff's obligation to pay</w:t>
      </w:r>
      <w:r>
        <w:rPr>
          <w:rFonts w:ascii="Georgia" w:eastAsia="Georgia" w:hAnsi="Georgia" w:cs="Georgia"/>
          <w:sz w:val="20"/>
        </w:rPr>
        <w:t xml:space="preserve"> alimony. There was sufficient evidence of record to support the findings of fact and adequate findings of fact to support the trial court's conclusions of law.</w:t>
      </w:r>
    </w:p>
    <w:p w:rsidR="007B00BB" w:rsidRDefault="00AE2B61">
      <w:pPr>
        <w:spacing w:before="240" w:after="240" w:line="280" w:lineRule="auto"/>
        <w:jc w:val="both"/>
      </w:pPr>
      <w:r>
        <w:rPr>
          <w:rFonts w:ascii="Georgia" w:eastAsia="Georgia" w:hAnsi="Georgia" w:cs="Georgia"/>
          <w:sz w:val="20"/>
        </w:rPr>
        <w:t>        Plaintiff also argues that the trial court's order holding plaintiff not in contempt an</w:t>
      </w:r>
      <w:r>
        <w:rPr>
          <w:rFonts w:ascii="Georgia" w:eastAsia="Georgia" w:hAnsi="Georgia" w:cs="Georgia"/>
          <w:sz w:val="20"/>
        </w:rPr>
        <w:t xml:space="preserve">d terminating plaintiff's obligation to pay alimony is not appealable. Terminating </w:t>
      </w:r>
      <w:r>
        <w:rPr>
          <w:rFonts w:ascii="Georgia" w:eastAsia="Georgia" w:hAnsi="Georgia" w:cs="Georgia"/>
          <w:sz w:val="20"/>
        </w:rPr>
        <w:lastRenderedPageBreak/>
        <w:t xml:space="preserve">plaintiff's obligation to pay alimony affects a substantial right of defendant, and therefore the order is appealable. See Piedmont Equipment Co. v. </w:t>
      </w:r>
      <w:proofErr w:type="spellStart"/>
      <w:r>
        <w:rPr>
          <w:rFonts w:ascii="Georgia" w:eastAsia="Georgia" w:hAnsi="Georgia" w:cs="Georgia"/>
          <w:sz w:val="20"/>
        </w:rPr>
        <w:t>Weant</w:t>
      </w:r>
      <w:proofErr w:type="spellEnd"/>
      <w:r>
        <w:rPr>
          <w:rFonts w:ascii="Georgia" w:eastAsia="Georgia" w:hAnsi="Georgia" w:cs="Georgia"/>
          <w:sz w:val="20"/>
        </w:rPr>
        <w:t xml:space="preserve">, 30 </w:t>
      </w:r>
      <w:proofErr w:type="spellStart"/>
      <w:r>
        <w:rPr>
          <w:rFonts w:ascii="Georgia" w:eastAsia="Georgia" w:hAnsi="Georgia" w:cs="Georgia"/>
          <w:sz w:val="20"/>
        </w:rPr>
        <w:t>N.C.App</w:t>
      </w:r>
      <w:proofErr w:type="spellEnd"/>
      <w:r>
        <w:rPr>
          <w:rFonts w:ascii="Georgia" w:eastAsia="Georgia" w:hAnsi="Georgia" w:cs="Georgia"/>
          <w:sz w:val="20"/>
        </w:rPr>
        <w:t xml:space="preserve">. 191, </w:t>
      </w:r>
      <w:r>
        <w:rPr>
          <w:rFonts w:ascii="Georgia" w:eastAsia="Georgia" w:hAnsi="Georgia" w:cs="Georgia"/>
          <w:sz w:val="20"/>
        </w:rPr>
        <w:t xml:space="preserve">226 </w:t>
      </w:r>
      <w:proofErr w:type="spellStart"/>
      <w:r>
        <w:rPr>
          <w:rFonts w:ascii="Georgia" w:eastAsia="Georgia" w:hAnsi="Georgia" w:cs="Georgia"/>
          <w:sz w:val="20"/>
        </w:rPr>
        <w:t>S.E.2d</w:t>
      </w:r>
      <w:proofErr w:type="spellEnd"/>
      <w:r>
        <w:rPr>
          <w:rFonts w:ascii="Georgia" w:eastAsia="Georgia" w:hAnsi="Georgia" w:cs="Georgia"/>
          <w:sz w:val="20"/>
        </w:rPr>
        <w:t xml:space="preserve"> 688 (1976) (an order dismissing a charge of indirect civil contempt is appealable where there was no other proceeding by which plaintiff could enforce its rights, thereby affecting a substantial right).</w:t>
      </w:r>
    </w:p>
    <w:p w:rsidR="007B00BB" w:rsidRDefault="00AE2B61">
      <w:pPr>
        <w:spacing w:before="240" w:after="240" w:line="280" w:lineRule="auto"/>
        <w:jc w:val="both"/>
      </w:pPr>
      <w:r>
        <w:rPr>
          <w:rFonts w:ascii="Georgia" w:eastAsia="Georgia" w:hAnsi="Georgia" w:cs="Georgia"/>
          <w:sz w:val="20"/>
        </w:rPr>
        <w:t>        Affirmed.</w:t>
      </w:r>
    </w:p>
    <w:p w:rsidR="007B00BB" w:rsidRDefault="00AE2B61">
      <w:pPr>
        <w:spacing w:before="240" w:after="240" w:line="280" w:lineRule="auto"/>
        <w:jc w:val="both"/>
      </w:pPr>
      <w:r>
        <w:rPr>
          <w:rFonts w:ascii="Georgia" w:eastAsia="Georgia" w:hAnsi="Georgia" w:cs="Georgia"/>
          <w:sz w:val="20"/>
        </w:rPr>
        <w:t>        </w:t>
      </w:r>
      <w:proofErr w:type="spellStart"/>
      <w:r>
        <w:rPr>
          <w:rFonts w:ascii="Georgia" w:eastAsia="Georgia" w:hAnsi="Georgia" w:cs="Georgia"/>
          <w:sz w:val="20"/>
        </w:rPr>
        <w:t>COZORT</w:t>
      </w:r>
      <w:proofErr w:type="spellEnd"/>
      <w:r>
        <w:rPr>
          <w:rFonts w:ascii="Georgia" w:eastAsia="Georgia" w:hAnsi="Georgia" w:cs="Georgia"/>
          <w:sz w:val="20"/>
        </w:rPr>
        <w:t xml:space="preserve"> and LEWIS</w:t>
      </w:r>
      <w:r>
        <w:rPr>
          <w:rFonts w:ascii="Georgia" w:eastAsia="Georgia" w:hAnsi="Georgia" w:cs="Georgia"/>
          <w:sz w:val="20"/>
        </w:rPr>
        <w:t xml:space="preserve">, </w:t>
      </w:r>
      <w:proofErr w:type="spellStart"/>
      <w:r>
        <w:rPr>
          <w:rFonts w:ascii="Georgia" w:eastAsia="Georgia" w:hAnsi="Georgia" w:cs="Georgia"/>
          <w:sz w:val="20"/>
        </w:rPr>
        <w:t>JJ</w:t>
      </w:r>
      <w:proofErr w:type="spellEnd"/>
      <w:r>
        <w:rPr>
          <w:rFonts w:ascii="Georgia" w:eastAsia="Georgia" w:hAnsi="Georgia" w:cs="Georgia"/>
          <w:sz w:val="20"/>
        </w:rPr>
        <w:t>., concur.</w:t>
      </w:r>
    </w:p>
    <w:p w:rsidR="00A77B3E" w:rsidRDefault="00AE2B61"/>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400" w:footer="600" w:gutter="0"/>
      <w:pgNumType w:start="1"/>
      <w:cols w:num="2" w:space="5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61" w:rsidRDefault="00AE2B61">
      <w:r>
        <w:separator/>
      </w:r>
    </w:p>
  </w:endnote>
  <w:endnote w:type="continuationSeparator" w:id="0">
    <w:p w:rsidR="00AE2B61" w:rsidRDefault="00AE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85" w:rsidRDefault="002F0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BB" w:rsidRPr="002F0F85" w:rsidRDefault="007B00BB" w:rsidP="002F0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85" w:rsidRDefault="002F0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61" w:rsidRDefault="00AE2B61">
      <w:r>
        <w:separator/>
      </w:r>
    </w:p>
  </w:footnote>
  <w:footnote w:type="continuationSeparator" w:id="0">
    <w:p w:rsidR="00AE2B61" w:rsidRDefault="00AE2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85" w:rsidRDefault="002F0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BB" w:rsidRPr="002F0F85" w:rsidRDefault="007B00BB" w:rsidP="002F0F85">
    <w:pPr>
      <w:pStyle w:val="Header"/>
      <w:rPr>
        <w:rFonts w:eastAsia="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F85" w:rsidRDefault="002F0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BB"/>
    <w:rsid w:val="002F0F85"/>
    <w:rsid w:val="006238B3"/>
    <w:rsid w:val="007B00BB"/>
    <w:rsid w:val="00AE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38B3"/>
    <w:rPr>
      <w:rFonts w:ascii="Tahoma" w:hAnsi="Tahoma" w:cs="Tahoma"/>
      <w:sz w:val="16"/>
      <w:szCs w:val="16"/>
    </w:rPr>
  </w:style>
  <w:style w:type="character" w:customStyle="1" w:styleId="BalloonTextChar">
    <w:name w:val="Balloon Text Char"/>
    <w:basedOn w:val="DefaultParagraphFont"/>
    <w:link w:val="BalloonText"/>
    <w:rsid w:val="006238B3"/>
    <w:rPr>
      <w:rFonts w:ascii="Tahoma" w:hAnsi="Tahoma" w:cs="Tahoma"/>
      <w:sz w:val="16"/>
      <w:szCs w:val="16"/>
    </w:rPr>
  </w:style>
  <w:style w:type="paragraph" w:styleId="Header">
    <w:name w:val="header"/>
    <w:basedOn w:val="Normal"/>
    <w:link w:val="HeaderChar"/>
    <w:rsid w:val="002F0F85"/>
    <w:pPr>
      <w:tabs>
        <w:tab w:val="center" w:pos="4680"/>
        <w:tab w:val="right" w:pos="9360"/>
      </w:tabs>
    </w:pPr>
  </w:style>
  <w:style w:type="character" w:customStyle="1" w:styleId="HeaderChar">
    <w:name w:val="Header Char"/>
    <w:basedOn w:val="DefaultParagraphFont"/>
    <w:link w:val="Header"/>
    <w:rsid w:val="002F0F85"/>
    <w:rPr>
      <w:sz w:val="24"/>
      <w:szCs w:val="24"/>
    </w:rPr>
  </w:style>
  <w:style w:type="paragraph" w:styleId="Footer">
    <w:name w:val="footer"/>
    <w:basedOn w:val="Normal"/>
    <w:link w:val="FooterChar"/>
    <w:rsid w:val="002F0F85"/>
    <w:pPr>
      <w:tabs>
        <w:tab w:val="center" w:pos="4680"/>
        <w:tab w:val="right" w:pos="9360"/>
      </w:tabs>
    </w:pPr>
  </w:style>
  <w:style w:type="character" w:customStyle="1" w:styleId="FooterChar">
    <w:name w:val="Footer Char"/>
    <w:basedOn w:val="DefaultParagraphFont"/>
    <w:link w:val="Footer"/>
    <w:rsid w:val="002F0F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38B3"/>
    <w:rPr>
      <w:rFonts w:ascii="Tahoma" w:hAnsi="Tahoma" w:cs="Tahoma"/>
      <w:sz w:val="16"/>
      <w:szCs w:val="16"/>
    </w:rPr>
  </w:style>
  <w:style w:type="character" w:customStyle="1" w:styleId="BalloonTextChar">
    <w:name w:val="Balloon Text Char"/>
    <w:basedOn w:val="DefaultParagraphFont"/>
    <w:link w:val="BalloonText"/>
    <w:rsid w:val="006238B3"/>
    <w:rPr>
      <w:rFonts w:ascii="Tahoma" w:hAnsi="Tahoma" w:cs="Tahoma"/>
      <w:sz w:val="16"/>
      <w:szCs w:val="16"/>
    </w:rPr>
  </w:style>
  <w:style w:type="paragraph" w:styleId="Header">
    <w:name w:val="header"/>
    <w:basedOn w:val="Normal"/>
    <w:link w:val="HeaderChar"/>
    <w:rsid w:val="002F0F85"/>
    <w:pPr>
      <w:tabs>
        <w:tab w:val="center" w:pos="4680"/>
        <w:tab w:val="right" w:pos="9360"/>
      </w:tabs>
    </w:pPr>
  </w:style>
  <w:style w:type="character" w:customStyle="1" w:styleId="HeaderChar">
    <w:name w:val="Header Char"/>
    <w:basedOn w:val="DefaultParagraphFont"/>
    <w:link w:val="Header"/>
    <w:rsid w:val="002F0F85"/>
    <w:rPr>
      <w:sz w:val="24"/>
      <w:szCs w:val="24"/>
    </w:rPr>
  </w:style>
  <w:style w:type="paragraph" w:styleId="Footer">
    <w:name w:val="footer"/>
    <w:basedOn w:val="Normal"/>
    <w:link w:val="FooterChar"/>
    <w:rsid w:val="002F0F85"/>
    <w:pPr>
      <w:tabs>
        <w:tab w:val="center" w:pos="4680"/>
        <w:tab w:val="right" w:pos="9360"/>
      </w:tabs>
    </w:pPr>
  </w:style>
  <w:style w:type="character" w:customStyle="1" w:styleId="FooterChar">
    <w:name w:val="Footer Char"/>
    <w:basedOn w:val="DefaultParagraphFont"/>
    <w:link w:val="Footer"/>
    <w:rsid w:val="002F0F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2016-02-20T19:37:00Z</dcterms:created>
  <dcterms:modified xsi:type="dcterms:W3CDTF">2016-02-20T19:37:00Z</dcterms:modified>
</cp:coreProperties>
</file>